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1B5" w:rsidRPr="009B4B6E" w:rsidRDefault="00FA61B5" w:rsidP="00FA61B5">
      <w:pPr>
        <w:spacing w:after="0" w:line="240" w:lineRule="auto"/>
        <w:jc w:val="both"/>
        <w:rPr>
          <w:rFonts w:ascii="Verdana" w:hAnsi="Verdana"/>
          <w:sz w:val="24"/>
          <w:szCs w:val="24"/>
        </w:rPr>
      </w:pPr>
      <w:r w:rsidRPr="009B4B6E">
        <w:rPr>
          <w:rFonts w:ascii="Verdana" w:hAnsi="Verdana"/>
          <w:sz w:val="24"/>
          <w:szCs w:val="24"/>
        </w:rPr>
        <w:t>CHEFIA DE GABINETE</w:t>
      </w:r>
    </w:p>
    <w:p w:rsidR="009B4B6E" w:rsidRPr="009B4B6E" w:rsidRDefault="009B4B6E" w:rsidP="009B4B6E">
      <w:pPr>
        <w:suppressAutoHyphens/>
        <w:spacing w:after="0" w:line="280" w:lineRule="atLeast"/>
        <w:jc w:val="both"/>
        <w:rPr>
          <w:rFonts w:ascii="Verdana" w:eastAsia="Times New Roman" w:hAnsi="Verdana" w:cs="Times New Roman"/>
          <w:sz w:val="24"/>
          <w:szCs w:val="24"/>
          <w:lang w:eastAsia="ar-SA"/>
        </w:rPr>
      </w:pPr>
      <w:r w:rsidRPr="009B4B6E">
        <w:rPr>
          <w:rFonts w:ascii="Verdana" w:eastAsia="Times New Roman" w:hAnsi="Verdana" w:cs="Times New Roman"/>
          <w:sz w:val="24"/>
          <w:szCs w:val="24"/>
          <w:lang w:eastAsia="ar-SA"/>
        </w:rPr>
        <w:t xml:space="preserve">Trata-se de questionamento formulado pela Empresa </w:t>
      </w:r>
      <w:r w:rsidRPr="009B4B6E">
        <w:rPr>
          <w:rFonts w:ascii="Verdana" w:eastAsia="Times New Roman" w:hAnsi="Verdana" w:cs="Times New Roman"/>
          <w:caps/>
          <w:sz w:val="24"/>
          <w:szCs w:val="24"/>
          <w:lang w:eastAsia="ar-SA"/>
        </w:rPr>
        <w:t>Arcolimp Serviços Gerais Ltda.,</w:t>
      </w:r>
      <w:r w:rsidRPr="009B4B6E">
        <w:rPr>
          <w:rFonts w:ascii="Verdana" w:eastAsia="Times New Roman" w:hAnsi="Verdana" w:cs="Times New Roman"/>
          <w:sz w:val="24"/>
          <w:szCs w:val="24"/>
          <w:lang w:eastAsia="ar-SA"/>
        </w:rPr>
        <w:t xml:space="preserve"> encaminhado ao e-mail institucional </w:t>
      </w:r>
      <w:hyperlink r:id="rId5" w:history="1">
        <w:r w:rsidRPr="009B4B6E">
          <w:rPr>
            <w:rFonts w:ascii="Verdana" w:eastAsia="Times New Roman" w:hAnsi="Verdana" w:cs="Times New Roman"/>
            <w:sz w:val="24"/>
            <w:szCs w:val="24"/>
            <w:u w:val="single"/>
            <w:lang w:eastAsia="ar-SA"/>
          </w:rPr>
          <w:t>sap@sap.sp.gov.br</w:t>
        </w:r>
      </w:hyperlink>
      <w:r w:rsidRPr="009B4B6E">
        <w:rPr>
          <w:rFonts w:ascii="Verdana" w:eastAsia="Times New Roman" w:hAnsi="Verdana" w:cs="Times New Roman"/>
          <w:sz w:val="24"/>
          <w:szCs w:val="24"/>
          <w:lang w:eastAsia="ar-SA"/>
        </w:rPr>
        <w:t xml:space="preserve">, referente à </w:t>
      </w:r>
      <w:r w:rsidRPr="009B4B6E">
        <w:rPr>
          <w:rFonts w:ascii="Verdana" w:eastAsia="Times New Roman" w:hAnsi="Verdana" w:cs="Times New Roman"/>
          <w:bCs/>
          <w:sz w:val="24"/>
          <w:szCs w:val="24"/>
          <w:lang w:eastAsia="ar-SA"/>
        </w:rPr>
        <w:t>CONCORRÊNCIA N° 02/2019</w:t>
      </w:r>
      <w:r w:rsidRPr="009B4B6E">
        <w:rPr>
          <w:rFonts w:ascii="Verdana" w:eastAsia="Times New Roman" w:hAnsi="Verdana" w:cs="Times New Roman"/>
          <w:sz w:val="24"/>
          <w:szCs w:val="24"/>
          <w:lang w:eastAsia="ar-SA"/>
        </w:rPr>
        <w:t>,</w:t>
      </w:r>
      <w:r w:rsidRPr="009B4B6E">
        <w:rPr>
          <w:rFonts w:ascii="Verdana" w:eastAsia="Times New Roman" w:hAnsi="Verdana" w:cs="Times New Roman"/>
          <w:bCs/>
          <w:sz w:val="24"/>
          <w:szCs w:val="24"/>
          <w:lang w:eastAsia="ar-SA"/>
        </w:rPr>
        <w:t xml:space="preserve"> PROCESSO SAP 145442/2020 (antigo SAP/GS nº 849/2019), que trata da execução de serviços de operacionalização de quatro Unidades Prisionais sob a forma de gestão compartilhada com o Estado, </w:t>
      </w:r>
      <w:r w:rsidRPr="009B4B6E">
        <w:rPr>
          <w:rFonts w:ascii="Verdana" w:eastAsia="Times New Roman" w:hAnsi="Verdana" w:cs="Times New Roman"/>
          <w:sz w:val="24"/>
          <w:szCs w:val="24"/>
          <w:lang w:eastAsia="ar-SA"/>
        </w:rPr>
        <w:t>em atendimento ao item 16.5 do Edital.</w:t>
      </w:r>
    </w:p>
    <w:p w:rsidR="009B4B6E" w:rsidRPr="009B4B6E" w:rsidRDefault="009B4B6E" w:rsidP="009B4B6E">
      <w:pPr>
        <w:suppressAutoHyphens/>
        <w:spacing w:after="0" w:line="280" w:lineRule="atLeast"/>
        <w:jc w:val="both"/>
        <w:rPr>
          <w:rFonts w:ascii="Verdana" w:eastAsia="Times New Roman" w:hAnsi="Verdana" w:cs="Times New Roman"/>
          <w:sz w:val="24"/>
          <w:szCs w:val="24"/>
          <w:lang w:eastAsia="ar-SA"/>
        </w:rPr>
      </w:pPr>
      <w:r w:rsidRPr="009B4B6E">
        <w:rPr>
          <w:rFonts w:ascii="Verdana" w:eastAsia="Times New Roman" w:hAnsi="Verdana" w:cs="Times New Roman"/>
          <w:sz w:val="24"/>
          <w:szCs w:val="24"/>
          <w:lang w:eastAsia="ar-SA"/>
        </w:rPr>
        <w:t xml:space="preserve">Na mensagem eletrônica encaminhada às </w:t>
      </w:r>
      <w:proofErr w:type="gramStart"/>
      <w:r w:rsidRPr="009B4B6E">
        <w:rPr>
          <w:rFonts w:ascii="Verdana" w:eastAsia="Times New Roman" w:hAnsi="Verdana" w:cs="Times New Roman"/>
          <w:sz w:val="24"/>
          <w:szCs w:val="24"/>
          <w:lang w:eastAsia="ar-SA"/>
        </w:rPr>
        <w:t>15:33</w:t>
      </w:r>
      <w:proofErr w:type="gramEnd"/>
      <w:r w:rsidRPr="009B4B6E">
        <w:rPr>
          <w:rFonts w:ascii="Verdana" w:eastAsia="Times New Roman" w:hAnsi="Verdana" w:cs="Times New Roman"/>
          <w:sz w:val="24"/>
          <w:szCs w:val="24"/>
          <w:lang w:eastAsia="ar-SA"/>
        </w:rPr>
        <w:t xml:space="preserve">h do dia 2 de março de 2020 a Empresa </w:t>
      </w:r>
      <w:r w:rsidRPr="009B4B6E">
        <w:rPr>
          <w:rFonts w:ascii="Verdana" w:eastAsia="Times New Roman" w:hAnsi="Verdana" w:cs="Times New Roman"/>
          <w:caps/>
          <w:sz w:val="24"/>
          <w:szCs w:val="24"/>
          <w:lang w:eastAsia="ar-SA"/>
        </w:rPr>
        <w:t>Arcolimp Serviços Gerais Ltda.</w:t>
      </w:r>
      <w:r w:rsidRPr="009B4B6E">
        <w:rPr>
          <w:rFonts w:ascii="Verdana" w:eastAsia="Times New Roman" w:hAnsi="Verdana" w:cs="Times New Roman"/>
          <w:sz w:val="24"/>
          <w:szCs w:val="24"/>
          <w:lang w:eastAsia="ar-SA"/>
        </w:rPr>
        <w:t xml:space="preserve"> fez o seguinte questionamento:</w:t>
      </w:r>
    </w:p>
    <w:p w:rsidR="009B4B6E" w:rsidRPr="009B4B6E" w:rsidRDefault="009B4B6E" w:rsidP="009B4B6E">
      <w:pPr>
        <w:suppressAutoHyphens/>
        <w:spacing w:after="0" w:line="280" w:lineRule="atLeast"/>
        <w:jc w:val="both"/>
        <w:rPr>
          <w:rFonts w:ascii="Verdana" w:eastAsia="Times New Roman" w:hAnsi="Verdana" w:cs="Times New Roman"/>
          <w:sz w:val="24"/>
          <w:szCs w:val="24"/>
          <w:lang w:eastAsia="ar-SA"/>
        </w:rPr>
      </w:pPr>
      <w:r w:rsidRPr="009B4B6E">
        <w:rPr>
          <w:rFonts w:ascii="Verdana" w:eastAsia="Times New Roman" w:hAnsi="Verdana" w:cs="Times New Roman"/>
          <w:sz w:val="24"/>
          <w:szCs w:val="24"/>
          <w:lang w:eastAsia="ar-SA"/>
        </w:rPr>
        <w:t>“</w:t>
      </w:r>
      <w:proofErr w:type="gramStart"/>
      <w:r w:rsidRPr="009B4B6E">
        <w:rPr>
          <w:rFonts w:ascii="Verdana" w:eastAsia="Times New Roman" w:hAnsi="Verdana" w:cs="Times New Roman"/>
          <w:sz w:val="24"/>
          <w:szCs w:val="24"/>
          <w:lang w:eastAsia="ar-SA"/>
        </w:rPr>
        <w:t>1)</w:t>
      </w:r>
      <w:proofErr w:type="gramEnd"/>
      <w:r w:rsidRPr="009B4B6E">
        <w:rPr>
          <w:rFonts w:ascii="Verdana" w:eastAsia="Times New Roman" w:hAnsi="Verdana" w:cs="Times New Roman"/>
          <w:sz w:val="24"/>
          <w:szCs w:val="24"/>
          <w:lang w:eastAsia="ar-SA"/>
        </w:rPr>
        <w:t xml:space="preserve"> A despesa ‘preso x dia’ sobre o item ‘Alimentação’, corresponde ao valor total mensal atribuído na planilha de preços da empresa licitante, dividido pelo número total de presos existentes na Unidade Prisional no período de apuração? Caso negativo, qual a metodologia para cálculo e pagamento do Custo Alimentação previsto no Edital”?</w:t>
      </w:r>
    </w:p>
    <w:p w:rsidR="009B4B6E" w:rsidRPr="009B4B6E" w:rsidRDefault="009B4B6E" w:rsidP="009B4B6E">
      <w:pPr>
        <w:suppressAutoHyphens/>
        <w:spacing w:after="0" w:line="280" w:lineRule="atLeast"/>
        <w:jc w:val="both"/>
        <w:rPr>
          <w:rFonts w:ascii="Verdana" w:eastAsia="Times New Roman" w:hAnsi="Verdana" w:cs="Times New Roman"/>
          <w:sz w:val="24"/>
          <w:szCs w:val="24"/>
          <w:lang w:eastAsia="ar-SA"/>
        </w:rPr>
      </w:pPr>
      <w:r w:rsidRPr="009B4B6E">
        <w:rPr>
          <w:rFonts w:ascii="Verdana" w:eastAsia="Times New Roman" w:hAnsi="Verdana" w:cs="Times New Roman"/>
          <w:sz w:val="24"/>
          <w:szCs w:val="24"/>
          <w:lang w:eastAsia="ar-SA"/>
        </w:rPr>
        <w:t>“</w:t>
      </w:r>
      <w:proofErr w:type="gramStart"/>
      <w:r w:rsidRPr="009B4B6E">
        <w:rPr>
          <w:rFonts w:ascii="Verdana" w:eastAsia="Times New Roman" w:hAnsi="Verdana" w:cs="Times New Roman"/>
          <w:sz w:val="24"/>
          <w:szCs w:val="24"/>
          <w:lang w:eastAsia="ar-SA"/>
        </w:rPr>
        <w:t>2)</w:t>
      </w:r>
      <w:proofErr w:type="gramEnd"/>
      <w:r w:rsidRPr="009B4B6E">
        <w:rPr>
          <w:rFonts w:ascii="Verdana" w:eastAsia="Times New Roman" w:hAnsi="Verdana" w:cs="Times New Roman"/>
          <w:sz w:val="24"/>
          <w:szCs w:val="24"/>
          <w:lang w:eastAsia="ar-SA"/>
        </w:rPr>
        <w:t xml:space="preserve"> De maneira geral, todos os custos variáveis serão auferidos com base nos valores das planilhas de preços apresentadas pelas licitantes? Existirá algum caso em que os valores serão repassados pela SAP ao Contratado por meio de reembolso, mediante apresentação de comprovantes de gastos”?</w:t>
      </w:r>
    </w:p>
    <w:p w:rsidR="009B4B6E" w:rsidRPr="009B4B6E" w:rsidRDefault="009B4B6E" w:rsidP="009B4B6E">
      <w:pPr>
        <w:suppressAutoHyphens/>
        <w:spacing w:after="0" w:line="280" w:lineRule="atLeast"/>
        <w:jc w:val="both"/>
        <w:rPr>
          <w:rFonts w:ascii="Verdana" w:eastAsia="Times New Roman" w:hAnsi="Verdana" w:cs="Times New Roman"/>
          <w:sz w:val="24"/>
          <w:szCs w:val="24"/>
          <w:lang w:eastAsia="ar-SA"/>
        </w:rPr>
      </w:pPr>
      <w:r w:rsidRPr="009B4B6E">
        <w:rPr>
          <w:rFonts w:ascii="Verdana" w:eastAsia="Times New Roman" w:hAnsi="Verdana" w:cs="Times New Roman"/>
          <w:sz w:val="24"/>
          <w:szCs w:val="24"/>
          <w:lang w:eastAsia="ar-SA"/>
        </w:rPr>
        <w:t>“</w:t>
      </w:r>
      <w:proofErr w:type="gramStart"/>
      <w:r w:rsidRPr="009B4B6E">
        <w:rPr>
          <w:rFonts w:ascii="Verdana" w:eastAsia="Times New Roman" w:hAnsi="Verdana" w:cs="Times New Roman"/>
          <w:sz w:val="24"/>
          <w:szCs w:val="24"/>
          <w:lang w:eastAsia="ar-SA"/>
        </w:rPr>
        <w:t>3)</w:t>
      </w:r>
      <w:proofErr w:type="gramEnd"/>
      <w:r w:rsidRPr="009B4B6E">
        <w:rPr>
          <w:rFonts w:ascii="Verdana" w:eastAsia="Times New Roman" w:hAnsi="Verdana" w:cs="Times New Roman"/>
          <w:sz w:val="24"/>
          <w:szCs w:val="24"/>
          <w:lang w:eastAsia="ar-SA"/>
        </w:rPr>
        <w:t xml:space="preserve"> Com relação ao item 5.2.2.5 do Edital (pág. 65), existe algum estudo da SAP que estabeleça média histórica sobre a quantidade de presos que necessitam do fornecimento de passagens rodoviárias”?</w:t>
      </w:r>
    </w:p>
    <w:p w:rsidR="009B4B6E" w:rsidRPr="009B4B6E" w:rsidRDefault="009B4B6E" w:rsidP="009B4B6E">
      <w:pPr>
        <w:suppressAutoHyphens/>
        <w:spacing w:after="0" w:line="280" w:lineRule="atLeast"/>
        <w:jc w:val="both"/>
        <w:rPr>
          <w:rFonts w:ascii="Verdana" w:eastAsia="Times New Roman" w:hAnsi="Verdana" w:cs="Times New Roman"/>
          <w:sz w:val="24"/>
          <w:szCs w:val="24"/>
          <w:lang w:eastAsia="ar-SA"/>
        </w:rPr>
      </w:pPr>
      <w:r w:rsidRPr="009B4B6E">
        <w:rPr>
          <w:rFonts w:ascii="Verdana" w:eastAsia="Times New Roman" w:hAnsi="Verdana" w:cs="Times New Roman"/>
          <w:sz w:val="24"/>
          <w:szCs w:val="24"/>
          <w:lang w:eastAsia="ar-SA"/>
        </w:rPr>
        <w:t>“</w:t>
      </w:r>
      <w:proofErr w:type="gramStart"/>
      <w:r w:rsidRPr="009B4B6E">
        <w:rPr>
          <w:rFonts w:ascii="Verdana" w:eastAsia="Times New Roman" w:hAnsi="Verdana" w:cs="Times New Roman"/>
          <w:sz w:val="24"/>
          <w:szCs w:val="24"/>
          <w:lang w:eastAsia="ar-SA"/>
        </w:rPr>
        <w:t>4)</w:t>
      </w:r>
      <w:proofErr w:type="gramEnd"/>
      <w:r w:rsidRPr="009B4B6E">
        <w:rPr>
          <w:rFonts w:ascii="Verdana" w:eastAsia="Times New Roman" w:hAnsi="Verdana" w:cs="Times New Roman"/>
          <w:sz w:val="24"/>
          <w:szCs w:val="24"/>
          <w:lang w:eastAsia="ar-SA"/>
        </w:rPr>
        <w:t xml:space="preserve"> Com relação ao item 5.2.3.5 do Edital (Pág. 65), poderá ser utilizada a alternativa dos próprios presos executarem tais atividades na Unidade Prisional, atendendo aos termos da Resolução SAP-53”?</w:t>
      </w:r>
    </w:p>
    <w:p w:rsidR="009B4B6E" w:rsidRPr="009B4B6E" w:rsidRDefault="009B4B6E" w:rsidP="009B4B6E">
      <w:pPr>
        <w:suppressAutoHyphens/>
        <w:spacing w:after="0" w:line="280" w:lineRule="atLeast"/>
        <w:jc w:val="both"/>
        <w:rPr>
          <w:rFonts w:ascii="Verdana" w:eastAsia="Times New Roman" w:hAnsi="Verdana" w:cs="Times New Roman"/>
          <w:sz w:val="24"/>
          <w:szCs w:val="24"/>
          <w:lang w:eastAsia="ar-SA"/>
        </w:rPr>
      </w:pPr>
      <w:r w:rsidRPr="009B4B6E">
        <w:rPr>
          <w:rFonts w:ascii="Verdana" w:eastAsia="Times New Roman" w:hAnsi="Verdana" w:cs="Times New Roman"/>
          <w:sz w:val="24"/>
          <w:szCs w:val="24"/>
          <w:lang w:eastAsia="ar-SA"/>
        </w:rPr>
        <w:t>“</w:t>
      </w:r>
      <w:proofErr w:type="gramStart"/>
      <w:r w:rsidRPr="009B4B6E">
        <w:rPr>
          <w:rFonts w:ascii="Verdana" w:eastAsia="Times New Roman" w:hAnsi="Verdana" w:cs="Times New Roman"/>
          <w:sz w:val="24"/>
          <w:szCs w:val="24"/>
          <w:lang w:eastAsia="ar-SA"/>
        </w:rPr>
        <w:t>5)</w:t>
      </w:r>
      <w:proofErr w:type="gramEnd"/>
      <w:r w:rsidRPr="009B4B6E">
        <w:rPr>
          <w:rFonts w:ascii="Verdana" w:eastAsia="Times New Roman" w:hAnsi="Verdana" w:cs="Times New Roman"/>
          <w:sz w:val="24"/>
          <w:szCs w:val="24"/>
          <w:lang w:eastAsia="ar-SA"/>
        </w:rPr>
        <w:t xml:space="preserve"> O item 7 (pag. 71) do Edital, informa que: ‘O CONTRATANTE exercerá atividade típica de Estado relativa à promoção das medidas de segurança, controle de disciplina e medidas judiciais cabíveis, incluindo o poder de polícia, visando ao cumprimento da pena e às medidas socioeducativas de reintegração do preso à sociedade’. Por sua vez, o Edital estabelece em seu item 1.4 (Pág. 33), que ‘Todas as atividades de responsabilidade da CONTRATADA, descritas neste Termo de Referência, incluindo-se as atividades de controle interno e de revista, deverão ser executadas sem o emprego de qualquer meio de coerção física( ... )’. Entendemos que a execução de revista faz parte do poder de polícia próprio do Estado, e nesse sentido, os serviços executa</w:t>
      </w:r>
      <w:bookmarkStart w:id="0" w:name="_GoBack"/>
      <w:bookmarkEnd w:id="0"/>
      <w:r w:rsidRPr="009B4B6E">
        <w:rPr>
          <w:rFonts w:ascii="Verdana" w:eastAsia="Times New Roman" w:hAnsi="Verdana" w:cs="Times New Roman"/>
          <w:sz w:val="24"/>
          <w:szCs w:val="24"/>
          <w:lang w:eastAsia="ar-SA"/>
        </w:rPr>
        <w:t>dos pela Contratada deveriam ser apenas de apoio às revistas, tanto nas celas dos presos quanto nas entradas de visitas na Unidade Prisional. Diante disso, podemos desconsiderar a realização das revistas no escopo dos trabalhos”?</w:t>
      </w:r>
    </w:p>
    <w:p w:rsidR="009B4B6E" w:rsidRPr="009B4B6E" w:rsidRDefault="009B4B6E" w:rsidP="009B4B6E">
      <w:pPr>
        <w:suppressAutoHyphens/>
        <w:spacing w:after="0" w:line="280" w:lineRule="atLeast"/>
        <w:jc w:val="both"/>
        <w:rPr>
          <w:rFonts w:ascii="Verdana" w:eastAsia="Times New Roman" w:hAnsi="Verdana" w:cs="Times New Roman"/>
          <w:sz w:val="24"/>
          <w:szCs w:val="24"/>
          <w:lang w:eastAsia="ar-SA"/>
        </w:rPr>
      </w:pPr>
      <w:r w:rsidRPr="009B4B6E">
        <w:rPr>
          <w:rFonts w:ascii="Verdana" w:eastAsia="Times New Roman" w:hAnsi="Verdana" w:cs="Times New Roman"/>
          <w:sz w:val="24"/>
          <w:szCs w:val="24"/>
          <w:lang w:eastAsia="ar-SA"/>
        </w:rPr>
        <w:t>“</w:t>
      </w:r>
      <w:proofErr w:type="gramStart"/>
      <w:r w:rsidRPr="009B4B6E">
        <w:rPr>
          <w:rFonts w:ascii="Verdana" w:eastAsia="Times New Roman" w:hAnsi="Verdana" w:cs="Times New Roman"/>
          <w:sz w:val="24"/>
          <w:szCs w:val="24"/>
          <w:lang w:eastAsia="ar-SA"/>
        </w:rPr>
        <w:t>6)</w:t>
      </w:r>
      <w:proofErr w:type="gramEnd"/>
      <w:r w:rsidRPr="009B4B6E">
        <w:rPr>
          <w:rFonts w:ascii="Verdana" w:eastAsia="Times New Roman" w:hAnsi="Verdana" w:cs="Times New Roman"/>
          <w:sz w:val="24"/>
          <w:szCs w:val="24"/>
          <w:lang w:eastAsia="ar-SA"/>
        </w:rPr>
        <w:t xml:space="preserve"> A Resolução SAP 131 /2019 elenca um rol de penalidades e multas a que estará sujeita a Contratada em casos de descumprimentos contratuais. Dá-se especial atenção aos casos previstos no parágrafo segundo do art. 2° da referida resolução, com multas que podem atingir a soma de mais de cinco milhões de reais, a depender da conduta da Contratada ou de seus prepostos. </w:t>
      </w:r>
      <w:r w:rsidRPr="009B4B6E">
        <w:rPr>
          <w:rFonts w:ascii="Verdana" w:eastAsia="Times New Roman" w:hAnsi="Verdana" w:cs="Times New Roman"/>
          <w:sz w:val="24"/>
          <w:szCs w:val="24"/>
          <w:lang w:eastAsia="ar-SA"/>
        </w:rPr>
        <w:lastRenderedPageBreak/>
        <w:t xml:space="preserve">Entretanto, em que pese a existência de critérios para aplicação das multas, os mesmos são muito subjetivos, devendo o Edital prever com mais objetividade quais os critérios associados aos valores das multas, de modo que isso possa ser previsto e precificado pelas licitantes. Diante disso, favor esclarecer, quais as tipificações e abrangências dos itens passíveis de penalidades, que poderão determinar as multas que variam de 50 a 200.000 </w:t>
      </w:r>
      <w:proofErr w:type="spellStart"/>
      <w:r w:rsidRPr="009B4B6E">
        <w:rPr>
          <w:rFonts w:ascii="Verdana" w:eastAsia="Times New Roman" w:hAnsi="Verdana" w:cs="Times New Roman"/>
          <w:sz w:val="24"/>
          <w:szCs w:val="24"/>
          <w:lang w:eastAsia="ar-SA"/>
        </w:rPr>
        <w:t>UFESP's</w:t>
      </w:r>
      <w:proofErr w:type="spellEnd"/>
      <w:r w:rsidRPr="009B4B6E">
        <w:rPr>
          <w:rFonts w:ascii="Verdana" w:eastAsia="Times New Roman" w:hAnsi="Verdana" w:cs="Times New Roman"/>
          <w:sz w:val="24"/>
          <w:szCs w:val="24"/>
          <w:lang w:eastAsia="ar-SA"/>
        </w:rPr>
        <w:t>”?</w:t>
      </w:r>
    </w:p>
    <w:p w:rsidR="009B4B6E" w:rsidRPr="009B4B6E" w:rsidRDefault="009B4B6E" w:rsidP="009B4B6E">
      <w:pPr>
        <w:suppressAutoHyphens/>
        <w:spacing w:after="0" w:line="280" w:lineRule="atLeast"/>
        <w:jc w:val="both"/>
        <w:rPr>
          <w:rFonts w:ascii="Verdana" w:eastAsia="Times New Roman" w:hAnsi="Verdana" w:cs="Times New Roman"/>
          <w:sz w:val="24"/>
          <w:szCs w:val="24"/>
          <w:lang w:eastAsia="ar-SA"/>
        </w:rPr>
      </w:pPr>
      <w:r w:rsidRPr="009B4B6E">
        <w:rPr>
          <w:rFonts w:ascii="Verdana" w:eastAsia="Times New Roman" w:hAnsi="Verdana" w:cs="Times New Roman"/>
          <w:sz w:val="24"/>
          <w:szCs w:val="24"/>
          <w:lang w:eastAsia="ar-SA"/>
        </w:rPr>
        <w:t>Segue esclarecimento:</w:t>
      </w:r>
    </w:p>
    <w:p w:rsidR="009B4B6E" w:rsidRPr="009B4B6E" w:rsidRDefault="009B4B6E" w:rsidP="009B4B6E">
      <w:pPr>
        <w:suppressAutoHyphens/>
        <w:spacing w:after="0" w:line="280" w:lineRule="atLeast"/>
        <w:jc w:val="both"/>
        <w:rPr>
          <w:rFonts w:ascii="Verdana" w:eastAsia="Times New Roman" w:hAnsi="Verdana" w:cs="Times New Roman"/>
          <w:bCs/>
          <w:sz w:val="24"/>
          <w:szCs w:val="24"/>
          <w:lang w:eastAsia="ar-SA"/>
        </w:rPr>
      </w:pPr>
      <w:r w:rsidRPr="009B4B6E">
        <w:rPr>
          <w:rFonts w:ascii="Verdana" w:eastAsia="Times New Roman" w:hAnsi="Verdana" w:cs="Times New Roman"/>
          <w:bCs/>
          <w:sz w:val="24"/>
          <w:szCs w:val="24"/>
          <w:lang w:eastAsia="ar-SA"/>
        </w:rPr>
        <w:t xml:space="preserve">QUESTÃO 01. A despesa do item Alimentação está incluída nos CUSTOS VARIÁVEIS, assim o faturamento deverá seguir as regras estabelecidas para os valores de NATUREZA VARIÁVEL, conforme definição contida no subitem 10.2 do TERMO DE REFERÊNCIA, ou seja, os valores indicados como CUSTOS VARIÁVEIS serão pagos estritamente de acordo com o valor PRESO X DIA, multiplicando cada valor unitário pelo número de presos na unidade prisional, além de potencialmente reduzidos a partir da identificação de eventuais falhas no cumprimento da obrigação. </w:t>
      </w:r>
    </w:p>
    <w:p w:rsidR="009B4B6E" w:rsidRPr="009B4B6E" w:rsidRDefault="009B4B6E" w:rsidP="009B4B6E">
      <w:pPr>
        <w:suppressAutoHyphens/>
        <w:spacing w:after="0" w:line="280" w:lineRule="atLeast"/>
        <w:jc w:val="both"/>
        <w:rPr>
          <w:rFonts w:ascii="Verdana" w:eastAsia="Times New Roman" w:hAnsi="Verdana" w:cs="Times New Roman"/>
          <w:bCs/>
          <w:sz w:val="24"/>
          <w:szCs w:val="24"/>
          <w:lang w:eastAsia="ar-SA"/>
        </w:rPr>
      </w:pPr>
      <w:r w:rsidRPr="009B4B6E">
        <w:rPr>
          <w:rFonts w:ascii="Verdana" w:eastAsia="Times New Roman" w:hAnsi="Verdana" w:cs="Times New Roman"/>
          <w:bCs/>
          <w:sz w:val="24"/>
          <w:szCs w:val="24"/>
          <w:lang w:eastAsia="ar-SA"/>
        </w:rPr>
        <w:t>O faturamento dos valores de NATUREZA VARIÁVEL será calculado para cada item da planilha de proposta de preços, com base no valor da DESPESA PRESO X DIA multiplicado pela quantidade mensal de ATENDIMENTOS AFERIDOS NA MEDIÇÃO, exceto para “TARIFA DE TELEFONIA FIXA” e “TARIFA DE ÁGUA/ESGOTO” as quais terão mensuração integral, dispensada de avaliação diária por tratar-se de serviços de responsabilidade integral das respectivas concessionárias. A quantidade de ATENDIMENTOS AFERIDOS NA MEDIÇÃO será calculada na seguinte conformidade: somatória mensal do NÚMERO DE PRESOS NA CASA no dia, multiplicado pela respectiva pontuação obtida na NOTA DIÁRIA, dividida por 100 (cem).</w:t>
      </w:r>
    </w:p>
    <w:p w:rsidR="009B4B6E" w:rsidRPr="009B4B6E" w:rsidRDefault="009B4B6E" w:rsidP="009B4B6E">
      <w:pPr>
        <w:suppressAutoHyphens/>
        <w:spacing w:after="0" w:line="280" w:lineRule="atLeast"/>
        <w:jc w:val="both"/>
        <w:rPr>
          <w:rFonts w:ascii="Verdana" w:eastAsia="Times New Roman" w:hAnsi="Verdana" w:cs="Times New Roman"/>
          <w:bCs/>
          <w:sz w:val="24"/>
          <w:szCs w:val="24"/>
          <w:lang w:eastAsia="ar-SA"/>
        </w:rPr>
      </w:pPr>
      <w:r w:rsidRPr="009B4B6E">
        <w:rPr>
          <w:rFonts w:ascii="Verdana" w:eastAsia="Times New Roman" w:hAnsi="Verdana" w:cs="Times New Roman"/>
          <w:bCs/>
          <w:sz w:val="24"/>
          <w:szCs w:val="24"/>
          <w:lang w:eastAsia="ar-SA"/>
        </w:rPr>
        <w:t xml:space="preserve">QUESTÃO 02. Não haverá nenhum repasse de valores por meio de reembolso, mediante apresentação de comprovantes de gastos. De acordo com a cláusula 4.4. </w:t>
      </w:r>
      <w:proofErr w:type="gramStart"/>
      <w:r w:rsidRPr="009B4B6E">
        <w:rPr>
          <w:rFonts w:ascii="Verdana" w:eastAsia="Times New Roman" w:hAnsi="Verdana" w:cs="Times New Roman"/>
          <w:bCs/>
          <w:sz w:val="24"/>
          <w:szCs w:val="24"/>
          <w:lang w:eastAsia="ar-SA"/>
        </w:rPr>
        <w:t>do</w:t>
      </w:r>
      <w:proofErr w:type="gramEnd"/>
      <w:r w:rsidRPr="009B4B6E">
        <w:rPr>
          <w:rFonts w:ascii="Verdana" w:eastAsia="Times New Roman" w:hAnsi="Verdana" w:cs="Times New Roman"/>
          <w:bCs/>
          <w:sz w:val="24"/>
          <w:szCs w:val="24"/>
          <w:lang w:eastAsia="ar-SA"/>
        </w:rPr>
        <w:t xml:space="preserve"> edital, nos preços propostos deverão estar incluídos, além do lucro, todas as despesas e custos diretos ou indiretos relacionados à prestação de serviços, tais como:  tributos, remunerações, despesas financeiras e quaisquer outras necessárias ao cumprimento do objeto desta licitação, inclusive gastos com transporte. Ademais, a cláusula 4.7. </w:t>
      </w:r>
      <w:proofErr w:type="gramStart"/>
      <w:r w:rsidRPr="009B4B6E">
        <w:rPr>
          <w:rFonts w:ascii="Verdana" w:eastAsia="Times New Roman" w:hAnsi="Verdana" w:cs="Times New Roman"/>
          <w:bCs/>
          <w:sz w:val="24"/>
          <w:szCs w:val="24"/>
          <w:lang w:eastAsia="ar-SA"/>
        </w:rPr>
        <w:t>estabelece</w:t>
      </w:r>
      <w:proofErr w:type="gramEnd"/>
      <w:r w:rsidRPr="009B4B6E">
        <w:rPr>
          <w:rFonts w:ascii="Verdana" w:eastAsia="Times New Roman" w:hAnsi="Verdana" w:cs="Times New Roman"/>
          <w:bCs/>
          <w:sz w:val="24"/>
          <w:szCs w:val="24"/>
          <w:lang w:eastAsia="ar-SA"/>
        </w:rPr>
        <w:t xml:space="preserve"> que o licitante deverá arcar com o ônus decorrente de eventual equívoco no dimensionamento de sua proposta, inclusive quanto aos custos variáveis decorrentes de fatores futuros, mas que sejam previsíveis em seu ramo de atividade, tais como aumentos de custo de mão-de-obra decorrentes de negociação coletiva ou de dissídio coletivo de trabalho.</w:t>
      </w:r>
    </w:p>
    <w:p w:rsidR="009B4B6E" w:rsidRPr="009B4B6E" w:rsidRDefault="009B4B6E" w:rsidP="009B4B6E">
      <w:pPr>
        <w:spacing w:after="0" w:line="240" w:lineRule="auto"/>
        <w:jc w:val="both"/>
        <w:rPr>
          <w:rFonts w:ascii="Verdana" w:eastAsia="Calibri" w:hAnsi="Verdana" w:cs="Times New Roman"/>
          <w:bCs/>
          <w:sz w:val="24"/>
          <w:szCs w:val="24"/>
        </w:rPr>
      </w:pPr>
      <w:r w:rsidRPr="009B4B6E">
        <w:rPr>
          <w:rFonts w:ascii="Verdana" w:eastAsia="Times New Roman" w:hAnsi="Verdana" w:cs="Times New Roman"/>
          <w:bCs/>
          <w:sz w:val="24"/>
          <w:szCs w:val="24"/>
          <w:lang w:eastAsia="ar-SA"/>
        </w:rPr>
        <w:t>QUESTÃO 03.</w:t>
      </w:r>
      <w:r w:rsidRPr="009B4B6E">
        <w:rPr>
          <w:rFonts w:ascii="Verdana" w:eastAsia="Calibri" w:hAnsi="Verdana" w:cs="Times New Roman"/>
          <w:bCs/>
          <w:sz w:val="24"/>
          <w:szCs w:val="24"/>
        </w:rPr>
        <w:t xml:space="preserve"> Questionamento similar foi respondido em 07/10/2019 – publicado no DOE de 09/10/2019 – pag. 84, questão 02, da empresa UMANIZZARE GESTÃO PRISIONAL E SERVIÇOS S/A, conforme segue:</w:t>
      </w:r>
    </w:p>
    <w:p w:rsidR="009B4B6E" w:rsidRPr="009B4B6E" w:rsidRDefault="009B4B6E" w:rsidP="009B4B6E">
      <w:pPr>
        <w:spacing w:after="0" w:line="240" w:lineRule="auto"/>
        <w:jc w:val="both"/>
        <w:rPr>
          <w:rFonts w:ascii="Verdana" w:eastAsia="Calibri" w:hAnsi="Verdana" w:cs="Arial"/>
          <w:color w:val="000000"/>
          <w:sz w:val="24"/>
          <w:szCs w:val="24"/>
          <w:shd w:val="clear" w:color="auto" w:fill="FFFFFF"/>
        </w:rPr>
      </w:pPr>
      <w:r w:rsidRPr="009B4B6E">
        <w:rPr>
          <w:rFonts w:ascii="Verdana" w:eastAsia="Times New Roman" w:hAnsi="Verdana" w:cs="Times New Roman"/>
          <w:bCs/>
          <w:sz w:val="24"/>
          <w:szCs w:val="24"/>
          <w:lang w:eastAsia="ar-SA"/>
        </w:rPr>
        <w:t>Esclarecimento 02. (...)</w:t>
      </w:r>
      <w:r w:rsidRPr="009B4B6E">
        <w:rPr>
          <w:rFonts w:ascii="Verdana" w:eastAsia="Calibri" w:hAnsi="Verdana" w:cs="Arial"/>
          <w:color w:val="000000"/>
          <w:sz w:val="24"/>
          <w:szCs w:val="24"/>
          <w:shd w:val="clear" w:color="auto" w:fill="FFFFFF"/>
        </w:rPr>
        <w:t xml:space="preserve"> </w:t>
      </w:r>
      <w:bookmarkStart w:id="1" w:name="_Hlk21337482"/>
      <w:proofErr w:type="gramStart"/>
      <w:r w:rsidRPr="009B4B6E">
        <w:rPr>
          <w:rFonts w:ascii="Verdana" w:eastAsia="Calibri" w:hAnsi="Verdana" w:cs="Arial"/>
          <w:color w:val="000000"/>
          <w:sz w:val="24"/>
          <w:szCs w:val="24"/>
          <w:shd w:val="clear" w:color="auto" w:fill="FFFFFF"/>
        </w:rPr>
        <w:t>À</w:t>
      </w:r>
      <w:proofErr w:type="gramEnd"/>
      <w:r w:rsidRPr="009B4B6E">
        <w:rPr>
          <w:rFonts w:ascii="Verdana" w:eastAsia="Calibri" w:hAnsi="Verdana" w:cs="Arial"/>
          <w:color w:val="000000"/>
          <w:sz w:val="24"/>
          <w:szCs w:val="24"/>
          <w:shd w:val="clear" w:color="auto" w:fill="FFFFFF"/>
        </w:rPr>
        <w:t xml:space="preserve"> título de ilustração, o quadro abaixo indica uma média de quantidade de passagens/custos de acordo com o tipo </w:t>
      </w:r>
      <w:r w:rsidRPr="009B4B6E">
        <w:rPr>
          <w:rFonts w:ascii="Verdana" w:eastAsia="Calibri" w:hAnsi="Verdana" w:cs="Arial"/>
          <w:color w:val="000000"/>
          <w:sz w:val="24"/>
          <w:szCs w:val="24"/>
          <w:shd w:val="clear" w:color="auto" w:fill="FFFFFF"/>
        </w:rPr>
        <w:lastRenderedPageBreak/>
        <w:t>de unidade prisional (base de cálculo: unidades da Coordenadoria da região Oeste).</w:t>
      </w:r>
    </w:p>
    <w:tbl>
      <w:tblPr>
        <w:tblW w:w="8505" w:type="dxa"/>
        <w:tblInd w:w="-8" w:type="dxa"/>
        <w:tblLayout w:type="fixed"/>
        <w:tblCellMar>
          <w:left w:w="0" w:type="dxa"/>
          <w:right w:w="0" w:type="dxa"/>
        </w:tblCellMar>
        <w:tblLook w:val="00A0" w:firstRow="1" w:lastRow="0" w:firstColumn="1" w:lastColumn="0" w:noHBand="0" w:noVBand="0"/>
      </w:tblPr>
      <w:tblGrid>
        <w:gridCol w:w="8505"/>
      </w:tblGrid>
      <w:tr w:rsidR="009B4B6E" w:rsidRPr="009B4B6E" w:rsidTr="00727310">
        <w:trPr>
          <w:trHeight w:val="299"/>
        </w:trPr>
        <w:tc>
          <w:tcPr>
            <w:tcW w:w="8505" w:type="dxa"/>
            <w:tcBorders>
              <w:top w:val="single" w:sz="6" w:space="0" w:color="000000"/>
              <w:left w:val="single" w:sz="6" w:space="0" w:color="000000"/>
              <w:bottom w:val="single" w:sz="6" w:space="0" w:color="000000"/>
              <w:right w:val="single" w:sz="6" w:space="0" w:color="000000"/>
            </w:tcBorders>
            <w:shd w:val="clear" w:color="auto" w:fill="E0F1FF"/>
            <w:vAlign w:val="center"/>
          </w:tcPr>
          <w:p w:rsidR="009B4B6E" w:rsidRPr="009B4B6E" w:rsidRDefault="009B4B6E" w:rsidP="009B4B6E">
            <w:pPr>
              <w:autoSpaceDE w:val="0"/>
              <w:autoSpaceDN w:val="0"/>
              <w:adjustRightInd w:val="0"/>
              <w:spacing w:after="0" w:line="240" w:lineRule="auto"/>
              <w:ind w:left="15"/>
              <w:rPr>
                <w:rFonts w:ascii="Calibri" w:eastAsia="Calibri" w:hAnsi="Calibri" w:cs="Calibri"/>
                <w:bCs/>
                <w:color w:val="000000"/>
              </w:rPr>
            </w:pPr>
            <w:r w:rsidRPr="009B4B6E">
              <w:rPr>
                <w:rFonts w:ascii="Calibri" w:eastAsia="Calibri" w:hAnsi="Calibri" w:cs="Calibri"/>
                <w:bCs/>
                <w:color w:val="000000"/>
              </w:rPr>
              <w:t>Tipo de Unidade Prisional                                            Quantidade                         Valor médio mensal</w:t>
            </w:r>
          </w:p>
        </w:tc>
      </w:tr>
      <w:tr w:rsidR="009B4B6E" w:rsidRPr="009B4B6E" w:rsidTr="00727310">
        <w:trPr>
          <w:trHeight w:val="299"/>
        </w:trPr>
        <w:tc>
          <w:tcPr>
            <w:tcW w:w="8505" w:type="dxa"/>
            <w:tcBorders>
              <w:top w:val="single" w:sz="6" w:space="0" w:color="000000"/>
              <w:left w:val="single" w:sz="6" w:space="0" w:color="000000"/>
              <w:bottom w:val="single" w:sz="6" w:space="0" w:color="000000"/>
              <w:right w:val="single" w:sz="6" w:space="0" w:color="000000"/>
            </w:tcBorders>
            <w:vAlign w:val="center"/>
          </w:tcPr>
          <w:p w:rsidR="009B4B6E" w:rsidRPr="009B4B6E" w:rsidRDefault="009B4B6E" w:rsidP="009B4B6E">
            <w:pPr>
              <w:autoSpaceDE w:val="0"/>
              <w:autoSpaceDN w:val="0"/>
              <w:adjustRightInd w:val="0"/>
              <w:spacing w:after="0" w:line="240" w:lineRule="auto"/>
              <w:ind w:left="15"/>
              <w:rPr>
                <w:rFonts w:ascii="Calibri" w:eastAsia="Calibri" w:hAnsi="Calibri" w:cs="Calibri"/>
                <w:color w:val="000000"/>
              </w:rPr>
            </w:pPr>
            <w:r w:rsidRPr="009B4B6E">
              <w:rPr>
                <w:rFonts w:ascii="Calibri" w:eastAsia="Calibri" w:hAnsi="Calibri" w:cs="Calibri"/>
                <w:color w:val="000000"/>
              </w:rPr>
              <w:t>Penitenciária Masculina                                                    10                                           R$ 1.352,17</w:t>
            </w:r>
          </w:p>
        </w:tc>
      </w:tr>
    </w:tbl>
    <w:p w:rsidR="009B4B6E" w:rsidRPr="009B4B6E" w:rsidRDefault="009B4B6E" w:rsidP="009B4B6E">
      <w:pPr>
        <w:spacing w:after="0" w:line="240" w:lineRule="auto"/>
        <w:jc w:val="both"/>
        <w:rPr>
          <w:rFonts w:ascii="Verdana" w:eastAsia="Times New Roman" w:hAnsi="Verdana" w:cs="Times New Roman"/>
          <w:bCs/>
          <w:sz w:val="24"/>
          <w:szCs w:val="24"/>
          <w:lang w:eastAsia="ar-SA"/>
        </w:rPr>
      </w:pPr>
      <w:r w:rsidRPr="009B4B6E">
        <w:rPr>
          <w:rFonts w:ascii="Verdana" w:eastAsia="Calibri" w:hAnsi="Verdana" w:cs="Arial"/>
          <w:color w:val="000000"/>
          <w:sz w:val="24"/>
          <w:szCs w:val="24"/>
          <w:shd w:val="clear" w:color="auto" w:fill="FFFFFF"/>
        </w:rPr>
        <w:t>O preso que trabalha, quando passa a condição de egresso, faz jus ao dinheiro do seu pecúlio; e nesses casos, o mesmo tem condições financeiras de arcar com a despesa de passagem rodoviária.</w:t>
      </w:r>
      <w:bookmarkEnd w:id="1"/>
    </w:p>
    <w:p w:rsidR="009B4B6E" w:rsidRPr="009B4B6E" w:rsidRDefault="009B4B6E" w:rsidP="009B4B6E">
      <w:pPr>
        <w:suppressAutoHyphens/>
        <w:spacing w:after="0" w:line="280" w:lineRule="atLeast"/>
        <w:jc w:val="both"/>
        <w:rPr>
          <w:rFonts w:ascii="Verdana" w:eastAsia="Times New Roman" w:hAnsi="Verdana" w:cs="Times New Roman"/>
          <w:bCs/>
          <w:sz w:val="24"/>
          <w:szCs w:val="24"/>
          <w:lang w:eastAsia="ar-SA"/>
        </w:rPr>
      </w:pPr>
      <w:r w:rsidRPr="009B4B6E">
        <w:rPr>
          <w:rFonts w:ascii="Verdana" w:eastAsia="Times New Roman" w:hAnsi="Verdana" w:cs="Times New Roman"/>
          <w:bCs/>
          <w:sz w:val="24"/>
          <w:szCs w:val="24"/>
          <w:lang w:eastAsia="ar-SA"/>
        </w:rPr>
        <w:t>QUESTÃO 04. No item 4.2.7 – Da Assistência ao Trabalho, consta do subitem “4.2.7.6” – que os trabalhos de manutenção interna da unidade, relativos aos serviços de panificação, cozinha, lavanderia, limpeza e serviços gerais e outros similares, a critério da CONTRATADA, poderão ser efetuados por presos, remunerados por esta, mediante a interveniência da FUNAP.</w:t>
      </w:r>
    </w:p>
    <w:p w:rsidR="009B4B6E" w:rsidRPr="009B4B6E" w:rsidRDefault="009B4B6E" w:rsidP="009B4B6E">
      <w:pPr>
        <w:suppressAutoHyphens/>
        <w:spacing w:after="0" w:line="280" w:lineRule="atLeast"/>
        <w:jc w:val="both"/>
        <w:rPr>
          <w:rFonts w:ascii="Verdana" w:eastAsia="Times New Roman" w:hAnsi="Verdana" w:cs="Times New Roman"/>
          <w:bCs/>
          <w:sz w:val="24"/>
          <w:szCs w:val="24"/>
          <w:lang w:eastAsia="ar-SA"/>
        </w:rPr>
      </w:pPr>
      <w:r w:rsidRPr="009B4B6E">
        <w:rPr>
          <w:rFonts w:ascii="Verdana" w:eastAsia="Times New Roman" w:hAnsi="Verdana" w:cs="Times New Roman"/>
          <w:bCs/>
          <w:sz w:val="24"/>
          <w:szCs w:val="24"/>
          <w:lang w:eastAsia="ar-SA"/>
        </w:rPr>
        <w:t>QUESTÃO 05. No modelo de gestão compartilhada o exercício do Poder de Polícia continuará, com exclusividade, sendo exercido pelo Estado. As atividades de revista, na forma como descrita no item 1.4, será feita de forma voluntária, sem o emprego de força física, sendo, portanto, perfeitamente delegável, eis que, trata-se de atos materiais delegáveis a terceiros, podendo, ser exercidos sob as ordens e diretrizes do Poder Público, em consonância com o disposto no artigo 83-A da Lei de Execuções Penais.</w:t>
      </w:r>
    </w:p>
    <w:p w:rsidR="009B4B6E" w:rsidRPr="009B4B6E" w:rsidRDefault="009B4B6E" w:rsidP="009B4B6E">
      <w:pPr>
        <w:suppressAutoHyphens/>
        <w:spacing w:after="0" w:line="280" w:lineRule="atLeast"/>
        <w:jc w:val="both"/>
        <w:rPr>
          <w:rFonts w:ascii="Verdana" w:eastAsia="Times New Roman" w:hAnsi="Verdana" w:cs="Times New Roman"/>
          <w:bCs/>
          <w:sz w:val="24"/>
          <w:szCs w:val="24"/>
          <w:lang w:eastAsia="ar-SA"/>
        </w:rPr>
      </w:pPr>
      <w:r w:rsidRPr="009B4B6E">
        <w:rPr>
          <w:rFonts w:ascii="Verdana" w:eastAsia="Times New Roman" w:hAnsi="Verdana" w:cs="Times New Roman"/>
          <w:bCs/>
          <w:sz w:val="24"/>
          <w:szCs w:val="24"/>
          <w:lang w:eastAsia="ar-SA"/>
        </w:rPr>
        <w:t>QUESTÃO 06. Os incisos do artigo 2º, da Resolução SAP 131/2019, estabelecem um percentual de incidência de multa sobre o valor do contrato ou sobre o saldo financeiro não realizado.</w:t>
      </w:r>
    </w:p>
    <w:p w:rsidR="009B4B6E" w:rsidRPr="009B4B6E" w:rsidRDefault="009B4B6E" w:rsidP="009B4B6E">
      <w:pPr>
        <w:suppressAutoHyphens/>
        <w:spacing w:after="0" w:line="280" w:lineRule="atLeast"/>
        <w:jc w:val="both"/>
        <w:rPr>
          <w:rFonts w:ascii="Verdana" w:eastAsia="Times New Roman" w:hAnsi="Verdana" w:cs="Times New Roman"/>
          <w:bCs/>
          <w:sz w:val="24"/>
          <w:szCs w:val="24"/>
          <w:lang w:eastAsia="ar-SA"/>
        </w:rPr>
      </w:pPr>
      <w:r w:rsidRPr="009B4B6E">
        <w:rPr>
          <w:rFonts w:ascii="Verdana" w:eastAsia="Times New Roman" w:hAnsi="Verdana" w:cs="Times New Roman"/>
          <w:bCs/>
          <w:sz w:val="24"/>
          <w:szCs w:val="24"/>
          <w:lang w:eastAsia="ar-SA"/>
        </w:rPr>
        <w:t xml:space="preserve">Por outro lado, o parágrafo único do referido dispositivo estabelece a fixação de multa entre o mínio de 50 </w:t>
      </w:r>
      <w:proofErr w:type="spellStart"/>
      <w:r w:rsidRPr="009B4B6E">
        <w:rPr>
          <w:rFonts w:ascii="Verdana" w:eastAsia="Times New Roman" w:hAnsi="Verdana" w:cs="Times New Roman"/>
          <w:bCs/>
          <w:sz w:val="24"/>
          <w:szCs w:val="24"/>
          <w:lang w:eastAsia="ar-SA"/>
        </w:rPr>
        <w:t>UFESP´s</w:t>
      </w:r>
      <w:proofErr w:type="spellEnd"/>
      <w:r w:rsidRPr="009B4B6E">
        <w:rPr>
          <w:rFonts w:ascii="Verdana" w:eastAsia="Times New Roman" w:hAnsi="Verdana" w:cs="Times New Roman"/>
          <w:bCs/>
          <w:sz w:val="24"/>
          <w:szCs w:val="24"/>
          <w:lang w:eastAsia="ar-SA"/>
        </w:rPr>
        <w:t xml:space="preserve"> e o máximo de 2.000 </w:t>
      </w:r>
      <w:proofErr w:type="spellStart"/>
      <w:r w:rsidRPr="009B4B6E">
        <w:rPr>
          <w:rFonts w:ascii="Verdana" w:eastAsia="Times New Roman" w:hAnsi="Verdana" w:cs="Times New Roman"/>
          <w:bCs/>
          <w:sz w:val="24"/>
          <w:szCs w:val="24"/>
          <w:lang w:eastAsia="ar-SA"/>
        </w:rPr>
        <w:t>UFESP´s</w:t>
      </w:r>
      <w:proofErr w:type="spellEnd"/>
      <w:r w:rsidRPr="009B4B6E">
        <w:rPr>
          <w:rFonts w:ascii="Verdana" w:eastAsia="Times New Roman" w:hAnsi="Verdana" w:cs="Times New Roman"/>
          <w:bCs/>
          <w:sz w:val="24"/>
          <w:szCs w:val="24"/>
          <w:lang w:eastAsia="ar-SA"/>
        </w:rPr>
        <w:t xml:space="preserve"> nos casos em que, pela natureza da obrigação inadimplida, não seja possível mensurar o saldo financeiro não realizado.</w:t>
      </w:r>
    </w:p>
    <w:p w:rsidR="00B250ED" w:rsidRPr="009B4B6E" w:rsidRDefault="009B4B6E" w:rsidP="009B4B6E">
      <w:pPr>
        <w:spacing w:after="0" w:line="240" w:lineRule="auto"/>
        <w:jc w:val="both"/>
        <w:rPr>
          <w:rFonts w:ascii="Verdana" w:hAnsi="Verdana"/>
          <w:sz w:val="24"/>
          <w:szCs w:val="24"/>
        </w:rPr>
      </w:pPr>
      <w:r w:rsidRPr="009B4B6E">
        <w:rPr>
          <w:rFonts w:ascii="Verdana" w:eastAsia="Times New Roman" w:hAnsi="Verdana" w:cs="Times New Roman"/>
          <w:bCs/>
          <w:sz w:val="24"/>
          <w:szCs w:val="24"/>
          <w:lang w:eastAsia="ar-SA"/>
        </w:rPr>
        <w:t xml:space="preserve">Segundo o próprio parágrafo primeiro do artigo </w:t>
      </w:r>
      <w:proofErr w:type="gramStart"/>
      <w:r w:rsidRPr="009B4B6E">
        <w:rPr>
          <w:rFonts w:ascii="Verdana" w:eastAsia="Times New Roman" w:hAnsi="Verdana" w:cs="Times New Roman"/>
          <w:bCs/>
          <w:sz w:val="24"/>
          <w:szCs w:val="24"/>
          <w:lang w:eastAsia="ar-SA"/>
        </w:rPr>
        <w:t>2º,</w:t>
      </w:r>
      <w:proofErr w:type="gramEnd"/>
      <w:r w:rsidRPr="009B4B6E">
        <w:rPr>
          <w:rFonts w:ascii="Verdana" w:eastAsia="Times New Roman" w:hAnsi="Verdana" w:cs="Times New Roman"/>
          <w:bCs/>
          <w:sz w:val="24"/>
          <w:szCs w:val="24"/>
          <w:lang w:eastAsia="ar-SA"/>
        </w:rPr>
        <w:t xml:space="preserve">a fixação de multa entre o mínimo de 50 </w:t>
      </w:r>
      <w:proofErr w:type="spellStart"/>
      <w:r w:rsidRPr="009B4B6E">
        <w:rPr>
          <w:rFonts w:ascii="Verdana" w:eastAsia="Times New Roman" w:hAnsi="Verdana" w:cs="Times New Roman"/>
          <w:bCs/>
          <w:sz w:val="24"/>
          <w:szCs w:val="24"/>
          <w:lang w:eastAsia="ar-SA"/>
        </w:rPr>
        <w:t>UFesp´s</w:t>
      </w:r>
      <w:proofErr w:type="spellEnd"/>
      <w:r w:rsidRPr="009B4B6E">
        <w:rPr>
          <w:rFonts w:ascii="Verdana" w:eastAsia="Times New Roman" w:hAnsi="Verdana" w:cs="Times New Roman"/>
          <w:bCs/>
          <w:sz w:val="24"/>
          <w:szCs w:val="24"/>
          <w:lang w:eastAsia="ar-SA"/>
        </w:rPr>
        <w:t xml:space="preserve"> e o máximo de 2.000 </w:t>
      </w:r>
      <w:proofErr w:type="spellStart"/>
      <w:r w:rsidRPr="009B4B6E">
        <w:rPr>
          <w:rFonts w:ascii="Verdana" w:eastAsia="Times New Roman" w:hAnsi="Verdana" w:cs="Times New Roman"/>
          <w:bCs/>
          <w:sz w:val="24"/>
          <w:szCs w:val="24"/>
          <w:lang w:eastAsia="ar-SA"/>
        </w:rPr>
        <w:t>UFesp´s</w:t>
      </w:r>
      <w:proofErr w:type="spellEnd"/>
      <w:r w:rsidRPr="009B4B6E">
        <w:rPr>
          <w:rFonts w:ascii="Verdana" w:eastAsia="Times New Roman" w:hAnsi="Verdana" w:cs="Times New Roman"/>
          <w:bCs/>
          <w:sz w:val="24"/>
          <w:szCs w:val="24"/>
          <w:lang w:eastAsia="ar-SA"/>
        </w:rPr>
        <w:t xml:space="preserve"> observará os seguintes critérios: a natureza e a gravidade da infração, o dano dela resultante, o impacto no nível de serviço prestado, conforme os incisos I a VI, que serão verificados de acordo com o caso concreto, sendo garantido a contratada o exercício do contraditório e ampla defesa.</w:t>
      </w:r>
    </w:p>
    <w:p w:rsidR="00B250ED" w:rsidRPr="009B4B6E" w:rsidRDefault="00B250ED" w:rsidP="00B250ED">
      <w:pPr>
        <w:spacing w:after="0" w:line="240" w:lineRule="auto"/>
        <w:jc w:val="both"/>
        <w:rPr>
          <w:rFonts w:ascii="Verdana" w:hAnsi="Verdana"/>
          <w:sz w:val="24"/>
          <w:szCs w:val="24"/>
        </w:rPr>
      </w:pPr>
      <w:r w:rsidRPr="009B4B6E">
        <w:rPr>
          <w:rFonts w:ascii="Verdana" w:hAnsi="Verdana"/>
          <w:sz w:val="24"/>
          <w:szCs w:val="24"/>
        </w:rPr>
        <w:t>Comissão Julgadora de Licitação.</w:t>
      </w:r>
    </w:p>
    <w:sectPr w:rsidR="00B250ED" w:rsidRPr="009B4B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1B5"/>
    <w:rsid w:val="00140E3C"/>
    <w:rsid w:val="00361EC4"/>
    <w:rsid w:val="00544AA0"/>
    <w:rsid w:val="009B4B6E"/>
    <w:rsid w:val="00B250ED"/>
    <w:rsid w:val="00D83CFD"/>
    <w:rsid w:val="00F13CBE"/>
    <w:rsid w:val="00FA61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p@sap.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1272</Words>
  <Characters>6869</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Alves Maia Neto</dc:creator>
  <cp:lastModifiedBy>Eduardo Alves Maia Neto</cp:lastModifiedBy>
  <cp:revision>4</cp:revision>
  <dcterms:created xsi:type="dcterms:W3CDTF">2020-03-05T14:38:00Z</dcterms:created>
  <dcterms:modified xsi:type="dcterms:W3CDTF">2020-03-05T14:43:00Z</dcterms:modified>
</cp:coreProperties>
</file>